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3A2E" w14:textId="77777777" w:rsidR="004400BA" w:rsidRDefault="004400BA" w:rsidP="004400BA">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2BAFF69D"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94C146"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DC764E9"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5770741"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p>
    <w:p w14:paraId="425DFC77" w14:textId="77777777" w:rsidR="004400BA" w:rsidRDefault="004400BA" w:rsidP="004400BA">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2AAB2F62"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04458764"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A67B10F" w14:textId="77777777" w:rsidR="004400BA" w:rsidRDefault="004400BA" w:rsidP="004400BA">
      <w:pPr>
        <w:suppressAutoHyphens/>
        <w:spacing w:after="0" w:line="240" w:lineRule="auto"/>
        <w:jc w:val="both"/>
        <w:rPr>
          <w:rFonts w:ascii="Tahoma" w:eastAsia="Times New Roman" w:hAnsi="Tahoma" w:cs="Tahoma"/>
          <w:sz w:val="18"/>
          <w:szCs w:val="18"/>
          <w:lang w:eastAsia="ar-SA"/>
        </w:rPr>
      </w:pPr>
    </w:p>
    <w:p w14:paraId="77009351" w14:textId="77777777" w:rsidR="004400BA" w:rsidRDefault="004400BA" w:rsidP="004400BA">
      <w:pPr>
        <w:suppressAutoHyphens/>
        <w:spacing w:after="0" w:line="240" w:lineRule="auto"/>
        <w:rPr>
          <w:rFonts w:ascii="Tahoma" w:eastAsia="Times New Roman" w:hAnsi="Tahoma" w:cs="Tahoma"/>
          <w:sz w:val="18"/>
          <w:szCs w:val="18"/>
          <w:lang w:eastAsia="ar-SA"/>
        </w:rPr>
      </w:pPr>
    </w:p>
    <w:p w14:paraId="6EB89179" w14:textId="140FF9ED" w:rsidR="00C04D6B" w:rsidRDefault="004400BA" w:rsidP="00C04D6B">
      <w:pPr>
        <w:suppressAutoHyphens/>
        <w:spacing w:after="480" w:line="240" w:lineRule="auto"/>
        <w:ind w:left="28"/>
        <w:jc w:val="both"/>
        <w:rPr>
          <w:rFonts w:ascii="Tahoma" w:eastAsia="Tahoma" w:hAnsi="Tahoma" w:cs="Tahoma"/>
          <w:b/>
          <w:bCs/>
          <w:sz w:val="20"/>
          <w:szCs w:val="20"/>
          <w:lang w:eastAsia="it-IT" w:bidi="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Pr="008E3767">
        <w:rPr>
          <w:rFonts w:ascii="Tahoma" w:eastAsia="Times New Roman" w:hAnsi="Tahoma" w:cs="Tahoma"/>
          <w:b/>
          <w:sz w:val="20"/>
          <w:szCs w:val="20"/>
          <w:lang w:eastAsia="ar-SA"/>
        </w:rPr>
        <w:t xml:space="preserve">PROCEDURA APERTA PER L’AFFIDAMENTO DEI LAVORI DI </w:t>
      </w:r>
      <w:r w:rsidR="00C04D6B">
        <w:rPr>
          <w:rFonts w:ascii="Tahoma" w:eastAsia="Tahoma" w:hAnsi="Tahoma" w:cs="Tahoma"/>
          <w:b/>
          <w:bCs/>
          <w:sz w:val="20"/>
          <w:szCs w:val="20"/>
          <w:lang w:eastAsia="it-IT" w:bidi="it-IT"/>
        </w:rPr>
        <w:t xml:space="preserve">RIQUALIFICAZIONE AREA CAMPO GIOCHI IN LOCALITA' NIBBIANO E AREA CAMPO GIOCHI IN LOCALITA' CAMINATA – CUP: B22H22002400004, CIG: </w:t>
      </w:r>
      <w:r w:rsidR="00686784" w:rsidRPr="00686784">
        <w:rPr>
          <w:rFonts w:ascii="Tahoma" w:eastAsia="Tahoma" w:hAnsi="Tahoma" w:cs="Tahoma"/>
          <w:b/>
          <w:bCs/>
          <w:sz w:val="20"/>
          <w:szCs w:val="20"/>
          <w:lang w:eastAsia="it-IT" w:bidi="it-IT"/>
        </w:rPr>
        <w:t>9313208E5B</w:t>
      </w:r>
      <w:r w:rsidR="00C04D6B">
        <w:rPr>
          <w:rFonts w:ascii="Tahoma" w:eastAsia="Tahoma" w:hAnsi="Tahoma" w:cs="Tahoma"/>
          <w:b/>
          <w:bCs/>
          <w:sz w:val="20"/>
          <w:szCs w:val="20"/>
          <w:lang w:eastAsia="it-IT" w:bidi="it-IT"/>
        </w:rPr>
        <w:t>.</w:t>
      </w:r>
    </w:p>
    <w:p w14:paraId="372E1757" w14:textId="39B1B29D" w:rsidR="004400BA" w:rsidRDefault="004400BA" w:rsidP="00C04D6B">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4400BA" w14:paraId="0DCACC88" w14:textId="77777777" w:rsidTr="0002431B">
        <w:tc>
          <w:tcPr>
            <w:tcW w:w="1320" w:type="dxa"/>
            <w:gridSpan w:val="2"/>
            <w:tcBorders>
              <w:top w:val="double" w:sz="2" w:space="0" w:color="C0C0C0"/>
              <w:left w:val="double" w:sz="2" w:space="0" w:color="C0C0C0"/>
              <w:bottom w:val="double" w:sz="2" w:space="0" w:color="C0C0C0"/>
              <w:right w:val="nil"/>
            </w:tcBorders>
            <w:hideMark/>
          </w:tcPr>
          <w:p w14:paraId="7E4234D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CF27DA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299F56" w14:textId="77777777" w:rsidTr="0002431B">
        <w:tc>
          <w:tcPr>
            <w:tcW w:w="630" w:type="dxa"/>
            <w:tcBorders>
              <w:top w:val="double" w:sz="2" w:space="0" w:color="C0C0C0"/>
              <w:left w:val="double" w:sz="2" w:space="0" w:color="C0C0C0"/>
              <w:bottom w:val="double" w:sz="2" w:space="0" w:color="C0C0C0"/>
              <w:right w:val="nil"/>
            </w:tcBorders>
            <w:hideMark/>
          </w:tcPr>
          <w:p w14:paraId="3815299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EEA4C5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D7EA8E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1F235C5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2A9A8A6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05BCD44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BE697D" w14:textId="77777777" w:rsidTr="0002431B">
        <w:tc>
          <w:tcPr>
            <w:tcW w:w="1320" w:type="dxa"/>
            <w:gridSpan w:val="2"/>
            <w:tcBorders>
              <w:top w:val="double" w:sz="2" w:space="0" w:color="C0C0C0"/>
              <w:left w:val="double" w:sz="2" w:space="0" w:color="C0C0C0"/>
              <w:bottom w:val="double" w:sz="2" w:space="0" w:color="C0C0C0"/>
              <w:right w:val="nil"/>
            </w:tcBorders>
            <w:hideMark/>
          </w:tcPr>
          <w:p w14:paraId="2FD2686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35FC202B"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246AE8E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347623F0"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34D7A3E"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E575E03"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7E49F0C5" w14:textId="77777777" w:rsidTr="0002431B">
        <w:tc>
          <w:tcPr>
            <w:tcW w:w="1320" w:type="dxa"/>
            <w:gridSpan w:val="2"/>
            <w:tcBorders>
              <w:top w:val="double" w:sz="2" w:space="0" w:color="C0C0C0"/>
              <w:left w:val="double" w:sz="2" w:space="0" w:color="C0C0C0"/>
              <w:bottom w:val="double" w:sz="2" w:space="0" w:color="C0C0C0"/>
              <w:right w:val="nil"/>
            </w:tcBorders>
            <w:hideMark/>
          </w:tcPr>
          <w:p w14:paraId="7BE1B66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D206185"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408F1E0C" w14:textId="77777777" w:rsidTr="0002431B">
        <w:tc>
          <w:tcPr>
            <w:tcW w:w="1320" w:type="dxa"/>
            <w:gridSpan w:val="2"/>
            <w:tcBorders>
              <w:top w:val="double" w:sz="2" w:space="0" w:color="C0C0C0"/>
              <w:left w:val="double" w:sz="2" w:space="0" w:color="C0C0C0"/>
              <w:bottom w:val="double" w:sz="2" w:space="0" w:color="C0C0C0"/>
              <w:right w:val="nil"/>
            </w:tcBorders>
            <w:hideMark/>
          </w:tcPr>
          <w:p w14:paraId="75A6C460"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9C89F2C"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5725B0FB" w14:textId="77777777" w:rsidTr="0002431B">
        <w:tc>
          <w:tcPr>
            <w:tcW w:w="1710" w:type="dxa"/>
            <w:gridSpan w:val="4"/>
            <w:tcBorders>
              <w:top w:val="double" w:sz="2" w:space="0" w:color="C0C0C0"/>
              <w:left w:val="double" w:sz="2" w:space="0" w:color="C0C0C0"/>
              <w:bottom w:val="double" w:sz="2" w:space="0" w:color="C0C0C0"/>
              <w:right w:val="nil"/>
            </w:tcBorders>
            <w:hideMark/>
          </w:tcPr>
          <w:p w14:paraId="4D807BA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55140EC7"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7D87DE1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605F93C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DB55CD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1B851C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5B4E716" w14:textId="77777777" w:rsidTr="0002431B">
        <w:tc>
          <w:tcPr>
            <w:tcW w:w="1815" w:type="dxa"/>
            <w:gridSpan w:val="5"/>
            <w:tcBorders>
              <w:top w:val="double" w:sz="2" w:space="0" w:color="C0C0C0"/>
              <w:left w:val="double" w:sz="2" w:space="0" w:color="C0C0C0"/>
              <w:bottom w:val="double" w:sz="2" w:space="0" w:color="C0C0C0"/>
              <w:right w:val="nil"/>
            </w:tcBorders>
            <w:hideMark/>
          </w:tcPr>
          <w:p w14:paraId="5C0372C9"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0B576E8D"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438CF6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27A1E8E"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1F2E98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EF5C5D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297EFBAD" w14:textId="77777777" w:rsidTr="0002431B">
        <w:tc>
          <w:tcPr>
            <w:tcW w:w="1425" w:type="dxa"/>
            <w:gridSpan w:val="3"/>
            <w:tcBorders>
              <w:top w:val="double" w:sz="2" w:space="0" w:color="C0C0C0"/>
              <w:left w:val="double" w:sz="2" w:space="0" w:color="C0C0C0"/>
              <w:bottom w:val="double" w:sz="2" w:space="0" w:color="C0C0C0"/>
              <w:right w:val="nil"/>
            </w:tcBorders>
            <w:hideMark/>
          </w:tcPr>
          <w:p w14:paraId="78120032"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659E69C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094C3163"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4B0F6AB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bl>
    <w:p w14:paraId="0789F0F8" w14:textId="77777777" w:rsidR="004400BA" w:rsidRDefault="004400BA" w:rsidP="004400BA">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w:t>
      </w:r>
    </w:p>
    <w:p w14:paraId="51EE1AC2" w14:textId="77777777" w:rsidR="004400BA" w:rsidRDefault="004400BA" w:rsidP="004400BA">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368554F3" w14:textId="77777777" w:rsidR="004400BA" w:rsidRDefault="004400BA" w:rsidP="004400BA">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3418CB4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363AB32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4F731D7"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1A3FBCB4" w14:textId="4150B470" w:rsidR="004400BA" w:rsidRPr="00AA67DD"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p>
    <w:p w14:paraId="1A3716B1"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mandante di Raggruppamento Temporaneo di concorrenti o di Consorzio ex art. 45, comma 2, lett. d) ed e) del D.Lgs. n. 50/2016;</w:t>
      </w:r>
    </w:p>
    <w:p w14:paraId="4E6E3AD9"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75D479A9" w14:textId="736E8512" w:rsidR="004400BA"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 di tipo orizzontale </w:t>
      </w:r>
    </w:p>
    <w:p w14:paraId="734C38A2"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fra società cooperative di produzione e lavoro ai sensi dell’art. 45, comma 2, lett. b) del D.Lgs. n. 50/2016;</w:t>
      </w:r>
    </w:p>
    <w:p w14:paraId="4E25A2F3"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tra imprese artigiane ai sensi dell’art. 45, comma 2, lett. b) del D.Lgs. 50/2016;</w:t>
      </w:r>
    </w:p>
    <w:p w14:paraId="14E9271C"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4F8E270D"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1B7CFB50" w14:textId="77777777" w:rsidR="004400BA" w:rsidRDefault="004400BA" w:rsidP="004400BA">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stabilito in altro Stato membro ex art. 45, comma 1, del D.Lgs. 50/2016;</w:t>
      </w:r>
    </w:p>
    <w:p w14:paraId="24C1DA85"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3BE8EB78"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14:paraId="719E3B8C"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cooptato;</w:t>
      </w:r>
    </w:p>
    <w:p w14:paraId="5E5F6BB5"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0DB3F6B8" w14:textId="77777777" w:rsidR="004400BA" w:rsidRDefault="004400BA" w:rsidP="004400BA">
      <w:pPr>
        <w:suppressAutoHyphens/>
        <w:spacing w:after="62" w:line="240" w:lineRule="auto"/>
        <w:ind w:left="426"/>
        <w:jc w:val="center"/>
        <w:rPr>
          <w:rFonts w:ascii="Tahoma" w:eastAsia="Times New Roman" w:hAnsi="Tahoma" w:cs="Tahoma"/>
          <w:color w:val="000000"/>
          <w:sz w:val="20"/>
          <w:szCs w:val="20"/>
          <w:lang w:eastAsia="ar-SA"/>
        </w:rPr>
      </w:pPr>
    </w:p>
    <w:p w14:paraId="4C0C9CE7" w14:textId="77777777" w:rsidR="004400BA" w:rsidRDefault="004400BA" w:rsidP="004400BA">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1AEC1C4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6F05281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p>
    <w:p w14:paraId="33DF7D21" w14:textId="77777777" w:rsidR="004400BA" w:rsidRDefault="004400BA" w:rsidP="004400BA">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1FD02A31"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0FEF4D0E"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6A6BCEDA"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44EB66F3"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5D94562" w14:textId="77777777" w:rsidR="004400BA" w:rsidRDefault="004400BA" w:rsidP="004400BA">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B47708E" w14:textId="77777777" w:rsidR="004400BA" w:rsidRDefault="004400BA" w:rsidP="004400BA">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EB5DB05"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71A003B7"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2BB6676"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A5694C3"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3695B2CA"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7F8C0D5"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0D0A6FDE" w14:textId="77777777" w:rsidR="004400BA" w:rsidRDefault="004400BA" w:rsidP="004400BA">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64724BDF"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0FD59B02" w14:textId="77777777" w:rsidR="004400BA" w:rsidRDefault="004400BA" w:rsidP="004400BA">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0A84BE9"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2374D541" w14:textId="77777777" w:rsidR="004400BA" w:rsidRDefault="004400BA" w:rsidP="004400BA">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5425ED83" w14:textId="77777777" w:rsidR="004400BA" w:rsidRDefault="004400BA" w:rsidP="004400BA">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Pr="0094718F">
        <w:rPr>
          <w:rFonts w:ascii="Tahoma" w:eastAsia="Times New Roman" w:hAnsi="Tahoma" w:cs="Tahoma"/>
          <w:bCs/>
          <w:kern w:val="2"/>
          <w:sz w:val="20"/>
          <w:szCs w:val="20"/>
          <w:u w:val="single"/>
          <w:lang w:eastAsia="ar-SA"/>
        </w:rPr>
        <w:t>,</w:t>
      </w:r>
      <w:r w:rsidRPr="0094718F">
        <w:rPr>
          <w:u w:val="single"/>
        </w:rPr>
        <w:t xml:space="preserve"> </w:t>
      </w:r>
      <w:r w:rsidRPr="0094718F">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E159EB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2E75DFEB" w14:textId="77777777" w:rsidR="004400BA" w:rsidRPr="00E16D02"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non essere stato sottoposto a fallimento, di non trovarsi in stato di liquidazione coatta o di concordato preventivo, e che non è in corso un procedimento per la dichiarazione di una di tali situazioni nei propri </w:t>
      </w:r>
      <w:r w:rsidRPr="00E16D02">
        <w:rPr>
          <w:rFonts w:ascii="Tahoma" w:eastAsia="Times New Roman" w:hAnsi="Tahoma" w:cs="Tahoma"/>
          <w:color w:val="000000"/>
          <w:sz w:val="20"/>
          <w:szCs w:val="20"/>
          <w:lang w:eastAsia="ar-SA"/>
        </w:rPr>
        <w:t>confronti;</w:t>
      </w:r>
    </w:p>
    <w:p w14:paraId="7B1BF842" w14:textId="77777777" w:rsidR="004400BA" w:rsidRPr="00E16D02"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sidRPr="00E16D02">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7B0FFD86"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2F7E002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0FD7D4F9"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661205E8"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5C7990FD"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3EBC0F7B" w14:textId="77777777" w:rsidR="004400BA" w:rsidRDefault="004400BA" w:rsidP="004400BA">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FAAA5CB"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0A73ADB" w14:textId="77777777" w:rsidR="004400BA" w:rsidRDefault="004400BA" w:rsidP="004400BA">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9C2CC" w14:textId="77777777" w:rsidR="004400BA" w:rsidRDefault="004400BA" w:rsidP="004400BA">
      <w:pPr>
        <w:numPr>
          <w:ilvl w:val="0"/>
          <w:numId w:val="3"/>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6202BA6A"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B65817" w14:textId="77777777" w:rsidR="004400BA" w:rsidRDefault="004400BA" w:rsidP="004400BA">
      <w:pPr>
        <w:numPr>
          <w:ilvl w:val="0"/>
          <w:numId w:val="3"/>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75E2D30" w14:textId="4AADAE5B" w:rsidR="004400BA" w:rsidRPr="00E16D02" w:rsidRDefault="004400BA" w:rsidP="004400BA">
      <w:pPr>
        <w:numPr>
          <w:ilvl w:val="0"/>
          <w:numId w:val="3"/>
        </w:numPr>
        <w:suppressAutoHyphens/>
        <w:spacing w:before="120" w:after="120" w:line="240" w:lineRule="auto"/>
        <w:jc w:val="both"/>
        <w:rPr>
          <w:rFonts w:ascii="Calibri" w:eastAsia="Calibri" w:hAnsi="Calibri" w:cs="Times New Roman"/>
          <w:u w:val="single"/>
          <w:lang w:eastAsia="ar-SA"/>
        </w:rPr>
      </w:pPr>
      <w:r w:rsidRPr="00E16D02">
        <w:rPr>
          <w:rFonts w:ascii="Tahoma" w:eastAsia="Times New Roman" w:hAnsi="Tahoma" w:cs="Tahoma"/>
          <w:color w:val="000000"/>
          <w:sz w:val="20"/>
          <w:szCs w:val="20"/>
          <w:lang w:eastAsia="ar-SA"/>
        </w:rPr>
        <w:t xml:space="preserve">di essere edotto degli obblighi derivanti dal Codice di Comportamento dei dipendenti pubblici </w:t>
      </w:r>
      <w:r w:rsidR="00E16D02">
        <w:rPr>
          <w:rFonts w:ascii="Tahoma" w:eastAsia="Times New Roman" w:hAnsi="Tahoma" w:cs="Tahoma"/>
          <w:color w:val="000000"/>
          <w:sz w:val="20"/>
          <w:szCs w:val="20"/>
          <w:lang w:eastAsia="ar-SA"/>
        </w:rPr>
        <w:t xml:space="preserve">(D.P.R. n. 62/2013) </w:t>
      </w:r>
      <w:r w:rsidRPr="00E16D02">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sidRPr="00E16D02">
        <w:rPr>
          <w:rFonts w:ascii="Tahoma" w:eastAsia="Times New Roman" w:hAnsi="Tahoma" w:cs="Tahoma"/>
          <w:color w:val="000000"/>
          <w:sz w:val="20"/>
          <w:szCs w:val="20"/>
          <w:u w:val="single"/>
          <w:lang w:eastAsia="ar-SA"/>
        </w:rPr>
        <w:t>pena la risoluzione del contratto</w:t>
      </w:r>
      <w:r w:rsidRPr="00E16D02">
        <w:rPr>
          <w:rFonts w:ascii="Tahoma" w:eastAsia="Times New Roman" w:hAnsi="Tahoma" w:cs="Tahoma"/>
          <w:color w:val="000000"/>
          <w:sz w:val="20"/>
          <w:szCs w:val="20"/>
          <w:lang w:eastAsia="ar-SA"/>
        </w:rPr>
        <w:t>;</w:t>
      </w:r>
    </w:p>
    <w:p w14:paraId="69005245" w14:textId="77777777" w:rsidR="004400BA" w:rsidRDefault="004400BA" w:rsidP="004400BA">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4C611CFF"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44A24D1C" w14:textId="77777777" w:rsidR="004400BA" w:rsidRDefault="004400BA" w:rsidP="004400BA">
      <w:pPr>
        <w:suppressAutoHyphens/>
        <w:spacing w:before="119" w:after="240" w:line="240" w:lineRule="auto"/>
        <w:jc w:val="center"/>
      </w:pPr>
    </w:p>
    <w:p w14:paraId="21750949" w14:textId="77777777" w:rsidR="004400BA" w:rsidRDefault="004400BA" w:rsidP="004400BA"/>
    <w:p w14:paraId="21F1EE64" w14:textId="77777777" w:rsidR="004400BA" w:rsidRDefault="004400BA" w:rsidP="004400BA"/>
    <w:p w14:paraId="0291824D" w14:textId="77777777" w:rsidR="00F64BE4" w:rsidRDefault="00F64BE4"/>
    <w:sectPr w:rsidR="00F64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498573526">
    <w:abstractNumId w:val="1"/>
  </w:num>
  <w:num w:numId="2" w16cid:durableId="1771049006">
    <w:abstractNumId w:val="0"/>
  </w:num>
  <w:num w:numId="3" w16cid:durableId="178673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BA"/>
    <w:rsid w:val="002F673A"/>
    <w:rsid w:val="00324B22"/>
    <w:rsid w:val="00367E06"/>
    <w:rsid w:val="004400BA"/>
    <w:rsid w:val="00686784"/>
    <w:rsid w:val="00797EFE"/>
    <w:rsid w:val="00C04D6B"/>
    <w:rsid w:val="00DF2800"/>
    <w:rsid w:val="00E16D02"/>
    <w:rsid w:val="00F6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6156"/>
  <w15:chartTrackingRefBased/>
  <w15:docId w15:val="{0CBBCECD-F33C-4FDD-AA93-968795B0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0BA"/>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40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1722</Words>
  <Characters>9822</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6</cp:revision>
  <dcterms:created xsi:type="dcterms:W3CDTF">2022-04-14T12:03:00Z</dcterms:created>
  <dcterms:modified xsi:type="dcterms:W3CDTF">2022-07-07T06:30:00Z</dcterms:modified>
</cp:coreProperties>
</file>